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BA" w:rsidRDefault="00D802B1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В</w:t>
      </w:r>
      <w:r>
        <w:t xml:space="preserve"> целях упрощения доступа субъектов МСП к кредитным ресурсам, Минэкономразвития России д</w:t>
      </w:r>
      <w:r>
        <w:t>оработана программа льготного кредитования субъектов МСП (информация об изменениях прилагается), утвержденная постановлением Правительством Российской Федерации от 30.12.2018 № 1764 «Об утверждении правил предоставления субсидий из федерального бюджета рос</w:t>
      </w:r>
      <w:r>
        <w:t>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(изменения утверждены постановлением Правительства Российской Федерации от</w:t>
      </w:r>
      <w:r>
        <w:t xml:space="preserve"> 08.05.2019 № 571).</w:t>
      </w:r>
    </w:p>
    <w:p w:rsidR="00D802B1" w:rsidRDefault="00D802B1">
      <w:pPr>
        <w:pStyle w:val="70"/>
        <w:shd w:val="clear" w:color="auto" w:fill="auto"/>
        <w:spacing w:after="522" w:line="260" w:lineRule="exact"/>
        <w:rPr>
          <w:b w:val="0"/>
        </w:rPr>
      </w:pPr>
    </w:p>
    <w:p w:rsidR="000141BA" w:rsidRPr="00D802B1" w:rsidRDefault="00D802B1">
      <w:pPr>
        <w:pStyle w:val="70"/>
        <w:shd w:val="clear" w:color="auto" w:fill="auto"/>
        <w:spacing w:after="522" w:line="260" w:lineRule="exact"/>
        <w:rPr>
          <w:b w:val="0"/>
        </w:rPr>
      </w:pPr>
      <w:bookmarkStart w:id="0" w:name="_GoBack"/>
      <w:bookmarkEnd w:id="0"/>
      <w:r w:rsidRPr="00D802B1">
        <w:rPr>
          <w:b w:val="0"/>
        </w:rPr>
        <w:t>Приложение</w:t>
      </w:r>
    </w:p>
    <w:p w:rsidR="000141BA" w:rsidRPr="00D802B1" w:rsidRDefault="00D802B1">
      <w:pPr>
        <w:pStyle w:val="70"/>
        <w:shd w:val="clear" w:color="auto" w:fill="auto"/>
        <w:spacing w:after="473" w:line="302" w:lineRule="exact"/>
        <w:ind w:left="20"/>
        <w:jc w:val="center"/>
        <w:rPr>
          <w:b w:val="0"/>
        </w:rPr>
      </w:pPr>
      <w:r w:rsidRPr="00D802B1">
        <w:rPr>
          <w:b w:val="0"/>
        </w:rPr>
        <w:t xml:space="preserve">О внесении </w:t>
      </w:r>
      <w:r w:rsidRPr="00D802B1">
        <w:rPr>
          <w:b w:val="0"/>
        </w:rPr>
        <w:t>изменений в Правила предоставления субсидий</w:t>
      </w:r>
      <w:r w:rsidRPr="00D802B1">
        <w:rPr>
          <w:b w:val="0"/>
        </w:rPr>
        <w:br/>
        <w:t>из федерального бюджета российским кредитным организациям на</w:t>
      </w:r>
      <w:r w:rsidRPr="00D802B1">
        <w:rPr>
          <w:b w:val="0"/>
        </w:rPr>
        <w:br/>
        <w:t>возмещение недополученных ими доходов по кредитам, выданным в 2019-2024</w:t>
      </w:r>
      <w:r w:rsidRPr="00D802B1">
        <w:rPr>
          <w:b w:val="0"/>
        </w:rPr>
        <w:br/>
        <w:t>годах субъектам малого и среднего предпринимательства по льготной ставке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 целя</w:t>
      </w:r>
      <w:r>
        <w:t>х расширения доступа субъектов малого и среднего предпринимательства (МСП) к льготному финансированию принято постановление Правительства Российской Федерации от 8 мая 2019 г, № 571 «О внесении изменений в Правила предоставления субсидий из федерального бю</w:t>
      </w:r>
      <w:r>
        <w:t>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 (далее соответственно - Правила, Программа льготного кредитования с</w:t>
      </w:r>
      <w:r>
        <w:t>убъектов МСП).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Внесение изменений в Правила направлено на уточнение основных параметров Программы льготного кредитования субъектов МСП по двум ключевым направлениям: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1. Упрощение доступа субъектов МСП при получении льготных кредитов.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Принимая во внимание п</w:t>
      </w:r>
      <w:r>
        <w:t>отребность среднего и малого бизнеса, в том числе микро предприятий, в небольших суммах льготных кредитов, размер минимального кредита снижен с 3 млн. рублей до 500 тыс. рублей.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 то же время со 100 млн. рублей до 500 млн. рублей повышен максимальный разме</w:t>
      </w:r>
      <w:r>
        <w:t>р кредита на пополнение оборотных средств. В случае если заемщик получает кредит на инвестиционные цели в сфере туризма, то его максимальный размер может составлять до 2 млрд, рублей.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Также для заемщиков предусмотрено послабление в части обязательных услов</w:t>
      </w:r>
      <w:r>
        <w:t>ий получения кредитов в рамках постановления Правительства Российской Федерации от 30 декабря 2018 года № 1764: допускается наличие задолженности по налогам в размере не более 50 тыс. рублей.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jc w:val="both"/>
      </w:pPr>
      <w:r>
        <w:t>Из Правил исключено ограничение по обязател</w:t>
      </w:r>
      <w:r>
        <w:t xml:space="preserve">ьной доле инвестиционных кредитов в </w:t>
      </w:r>
      <w:r>
        <w:t xml:space="preserve">общем объеме кредитов, выданных системно значимыми кредитными </w:t>
      </w:r>
      <w:r>
        <w:t>организациями, что являлось сдерживающим фактором при выдаче льготных кредитов на пополнение оборотных средств.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 xml:space="preserve">Также из Правил исключено положение, </w:t>
      </w:r>
      <w:r>
        <w:t>устанавливающее минимальный размер процентной ставки по кредитам, выданным по кредитным договорам, заключаемым в рамках программы субсидирования. Со дня официального опубликования изменений в Правила ставка для конечного заемщика может быть ниже ключевой с</w:t>
      </w:r>
      <w:r>
        <w:t>тавки Банка России.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2. Создание стимулов для уполномоченных банков к увеличению объемов выдачи льготных кредитов субъектам МСП и увеличению числа уполномоченных банков.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lastRenderedPageBreak/>
        <w:t>В целях стимулирования кредитных организаций к увеличению выдачи льготных кредитов на р</w:t>
      </w:r>
      <w:r>
        <w:t>еализацию проектов в приоритетных отраслях предусматривается повышение максимальной ставки субсидирования до 3,5 процента в зависимости от объемов кредитования малого и среднего бизнеса.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 xml:space="preserve">Предусмотрены особые условия для аккредитованных банков, кредитующих </w:t>
      </w:r>
      <w:r>
        <w:t>инвестиционные проекты предприятий - участников программы по повышению производительности труда. Правила дополнены положениями о субсидировании по повышенной ставке в размере 3,5 процента по таким кредитным договорам.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Кроме того, Правила уточнены в части и</w:t>
      </w:r>
      <w:r>
        <w:t>нвестиционных кредитов: к ним отнесены также целевые кредиты для строительства жилья, предоставляемые в соответствии с Федеральным законом от 30 декабря 2004 г. № 214-ФЗ «Об участии в долевом строительстве многоквартирных домов и иных объектов недвижимости</w:t>
      </w:r>
      <w:r>
        <w:t xml:space="preserve"> и о внесении изменений в некоторые законодательные акты Российской Федерации».</w:t>
      </w:r>
    </w:p>
    <w:p w:rsidR="000141BA" w:rsidRDefault="00D802B1" w:rsidP="00D802B1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 xml:space="preserve">В целях увеличения числа уполномоченных банков Правила дополнены положениями в части проведения дополнительного отбора уполномоченных банков и упрощения критериев отбора </w:t>
      </w:r>
      <w:r>
        <w:t>кредитных организаций.</w:t>
      </w:r>
    </w:p>
    <w:sectPr w:rsidR="000141BA" w:rsidSect="00D802B1">
      <w:headerReference w:type="default" r:id="rId7"/>
      <w:pgSz w:w="11900" w:h="16840"/>
      <w:pgMar w:top="567" w:right="701" w:bottom="567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B1" w:rsidRDefault="00D802B1">
      <w:r>
        <w:separator/>
      </w:r>
    </w:p>
  </w:endnote>
  <w:endnote w:type="continuationSeparator" w:id="0">
    <w:p w:rsidR="00D802B1" w:rsidRDefault="00D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B1" w:rsidRDefault="00D802B1"/>
  </w:footnote>
  <w:footnote w:type="continuationSeparator" w:id="0">
    <w:p w:rsidR="00D802B1" w:rsidRDefault="00D802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BA" w:rsidRDefault="00D802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426720</wp:posOffset>
              </wp:positionV>
              <wp:extent cx="75565" cy="160655"/>
              <wp:effectExtent l="4445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1BA" w:rsidRDefault="000141B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6pt;margin-top:33.6pt;width:5.9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" filled="f" stroked="f">
              <v:textbox style="mso-fit-shape-to-text:t" inset="0,0,0,0">
                <w:txbxContent>
                  <w:p w:rsidR="000141BA" w:rsidRDefault="000141B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A"/>
    <w:rsid w:val="000141BA"/>
    <w:rsid w:val="00D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Tahoma75pt">
    <w:name w:val="Основной текст (6) + Tahoma;7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08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80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2B1"/>
    <w:rPr>
      <w:color w:val="000000"/>
    </w:rPr>
  </w:style>
  <w:style w:type="paragraph" w:styleId="a9">
    <w:name w:val="footer"/>
    <w:basedOn w:val="a"/>
    <w:link w:val="aa"/>
    <w:uiPriority w:val="99"/>
    <w:unhideWhenUsed/>
    <w:rsid w:val="00D80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02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Tahoma75pt">
    <w:name w:val="Основной текст (6) + Tahoma;7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08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80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2B1"/>
    <w:rPr>
      <w:color w:val="000000"/>
    </w:rPr>
  </w:style>
  <w:style w:type="paragraph" w:styleId="a9">
    <w:name w:val="footer"/>
    <w:basedOn w:val="a"/>
    <w:link w:val="aa"/>
    <w:uiPriority w:val="99"/>
    <w:unhideWhenUsed/>
    <w:rsid w:val="00D80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02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2019-06-19T03:11:00Z</dcterms:created>
  <dcterms:modified xsi:type="dcterms:W3CDTF">2019-06-19T03:20:00Z</dcterms:modified>
</cp:coreProperties>
</file>