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B4" w:rsidRDefault="00A953B4" w:rsidP="00A953B4">
      <w:r>
        <w:t>Гарантийная поддержка субъектам малого и среднего предпринимательства</w:t>
      </w:r>
    </w:p>
    <w:p w:rsidR="00A953B4" w:rsidRDefault="00A953B4" w:rsidP="00A953B4">
      <w:r>
        <w:t>Также одним из ключевых направлений деятельности Корпорации является оказание гарантийной поддержки субъектам МСП, осуществляющим деятельность по приоритетным направлениям развития науки, технологий и техники в Российской Федерации, а также субъектам МСП, реализующим инвестиционные проекты, развивающие неторговые сферы деятельности. На реализацию поставленной цели направлены следующие программы Корпорации:</w:t>
      </w:r>
    </w:p>
    <w:p w:rsidR="00A953B4" w:rsidRDefault="00A953B4" w:rsidP="00A953B4"/>
    <w:p w:rsidR="00A953B4" w:rsidRDefault="00A953B4" w:rsidP="00A953B4">
      <w:r>
        <w:t>1)   Программа стимулирования кредитования малого и среднего предпринимательства.</w:t>
      </w:r>
    </w:p>
    <w:p w:rsidR="00A953B4" w:rsidRDefault="00A953B4" w:rsidP="00A953B4"/>
    <w:p w:rsidR="00A953B4" w:rsidRDefault="00A953B4" w:rsidP="00A953B4">
      <w:r>
        <w:t>В рамках Программы стимулирования субъектам МСП предоставляются кредиты в сумме от 50 млн рублей до 1 млрд рублей для приобретения основных средств, модернизации и реконструкции производства, запуска новых проектов по ставкам 11 % для субъектов малого предпринимательства и 10% для субъектов среднего предпринимательства. Для участия в Программе стимулирования Корпорацией подписаны партнерские соглашения с 11 банками: ПАО Сбербанк, Банк ВТБ (ПАО), АО «Россельхозбанк», ПАО «Промсвязьбанк», АО «АЛЬФА- БАНК», Банк ГПБ (АО), ПАО РОСБАНК, ОАО «Банк Москвы», ПАО Банк «ФК Открытие», ВТБ 24 (ПАО), РНКБ Банк (ПАО).</w:t>
      </w:r>
    </w:p>
    <w:p w:rsidR="00A953B4" w:rsidRDefault="00A953B4" w:rsidP="00A953B4"/>
    <w:p w:rsidR="00A953B4" w:rsidRDefault="00A953B4" w:rsidP="00A953B4">
      <w:r>
        <w:t>Для получения кредита в рамках Программы стимулирования субъекту МСП - инициатору проекта, соответствующему условиям и требованиям Программы стимулирования, необходимо обратиться в один из вышеуказанных банков.</w:t>
      </w:r>
    </w:p>
    <w:p w:rsidR="00A953B4" w:rsidRDefault="00A953B4" w:rsidP="00A953B4"/>
    <w:p w:rsidR="00A953B4" w:rsidRDefault="00A953B4" w:rsidP="00A953B4">
      <w:r>
        <w:t>Подробная информация о банках-партнерах, приоритетных отраслях, порядке взаимодействия с банками-партнерами размещена на сайте www.асgrf.ru;</w:t>
      </w:r>
    </w:p>
    <w:p w:rsidR="00A953B4" w:rsidRDefault="00A953B4" w:rsidP="00A953B4"/>
    <w:p w:rsidR="005A22CE" w:rsidRDefault="00A953B4" w:rsidP="00A953B4">
      <w:r>
        <w:t>2)       Двухканальная система оказания гарантийной поддержки. В целях оказания гарантийной поддержки Корпорация использует двухканальную систему отбора регионально значимых проектов субъектов МСП. Данный механизм предусматривает направление заявок на предоставление гарантии Корпорации для обеспечения кредитов в сумме свыше 200 млн. рублей непосредственно в Корпорацию для рассмотрения и принятия решения о предварительном согласии. С учетом принятого решения Корпорацией организуется конкурс среди банков - партнеров на предоставление лучших условий кредитования данного проекта с последующим отбором банка для предоставления кредита на реализацию проекта. Основные требования к указанным проектам и к первичной информации для подачи заявки на рассмотрение Корпорацией приведены на сайте http://www.acgrf.ru/.</w:t>
      </w:r>
    </w:p>
    <w:sectPr w:rsidR="005A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A953B4"/>
    <w:rsid w:val="005A22CE"/>
    <w:rsid w:val="00A9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2023-11-09T05:24:00Z</dcterms:created>
  <dcterms:modified xsi:type="dcterms:W3CDTF">2023-11-09T05:25:00Z</dcterms:modified>
</cp:coreProperties>
</file>